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7FB" w:rsidRDefault="00D917FB" w:rsidP="00D917FB">
      <w:pPr>
        <w:pageBreakBefore/>
        <w:ind w:left="1418" w:firstLine="709"/>
        <w:jc w:val="right"/>
        <w:rPr>
          <w:rFonts w:ascii="Tahoma" w:hAnsi="Tahoma" w:cs="Tahoma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183515</wp:posOffset>
            </wp:positionV>
            <wp:extent cx="1155700" cy="721360"/>
            <wp:effectExtent l="0" t="0" r="6350" b="2540"/>
            <wp:wrapNone/>
            <wp:docPr id="2" name="Immagine 2" descr="logo Maniss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 Manisser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  <w:b/>
          <w:sz w:val="30"/>
          <w:szCs w:val="30"/>
        </w:rPr>
        <w:t>Unione Terre della Pianura</w:t>
      </w:r>
    </w:p>
    <w:p w:rsidR="00D917FB" w:rsidRDefault="00D917FB" w:rsidP="00D917FB">
      <w:pPr>
        <w:ind w:left="3540" w:firstLine="708"/>
        <w:jc w:val="right"/>
        <w:rPr>
          <w:rFonts w:ascii="Tahoma" w:hAnsi="Tahoma" w:cs="Tahoma"/>
          <w:sz w:val="11"/>
          <w:szCs w:val="11"/>
        </w:rPr>
      </w:pPr>
      <w:r>
        <w:rPr>
          <w:rFonts w:ascii="Tahoma" w:hAnsi="Tahoma" w:cs="Tahoma"/>
          <w:sz w:val="11"/>
          <w:szCs w:val="11"/>
        </w:rPr>
        <w:t xml:space="preserve"> </w:t>
      </w:r>
      <w:proofErr w:type="gramStart"/>
      <w:r>
        <w:rPr>
          <w:rFonts w:ascii="Tahoma" w:hAnsi="Tahoma" w:cs="Tahoma"/>
          <w:sz w:val="11"/>
          <w:szCs w:val="11"/>
        </w:rPr>
        <w:t>tra</w:t>
      </w:r>
      <w:proofErr w:type="gramEnd"/>
      <w:r>
        <w:rPr>
          <w:rFonts w:ascii="Tahoma" w:hAnsi="Tahoma" w:cs="Tahoma"/>
          <w:sz w:val="11"/>
          <w:szCs w:val="11"/>
        </w:rPr>
        <w:t xml:space="preserve"> i Comuni di Marene, Monasterolo di Savigliano e Savigliano</w:t>
      </w:r>
    </w:p>
    <w:p w:rsidR="00D917FB" w:rsidRDefault="00D917FB" w:rsidP="00D917FB">
      <w:pPr>
        <w:ind w:left="1416" w:firstLine="708"/>
        <w:jc w:val="right"/>
        <w:rPr>
          <w:rFonts w:ascii="Tahoma" w:hAnsi="Tahoma" w:cs="Tahoma"/>
          <w:sz w:val="28"/>
        </w:rPr>
      </w:pPr>
      <w:r>
        <w:rPr>
          <w:rFonts w:ascii="Tahoma" w:hAnsi="Tahoma" w:cs="Tahoma"/>
          <w:sz w:val="28"/>
        </w:rPr>
        <w:t>SERVIZI FINANZIARI E CONTABILI</w:t>
      </w:r>
    </w:p>
    <w:p w:rsidR="00D917FB" w:rsidRDefault="00D917FB" w:rsidP="00D917FB">
      <w:pPr>
        <w:ind w:left="1416" w:firstLine="708"/>
        <w:jc w:val="right"/>
        <w:rPr>
          <w:rFonts w:ascii="Tahoma" w:hAnsi="Tahoma" w:cs="Tahoma"/>
          <w:i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1137285</wp:posOffset>
                </wp:positionH>
                <wp:positionV relativeFrom="paragraph">
                  <wp:posOffset>67309</wp:posOffset>
                </wp:positionV>
                <wp:extent cx="4981575" cy="0"/>
                <wp:effectExtent l="0" t="0" r="28575" b="19050"/>
                <wp:wrapNone/>
                <wp:docPr id="1" name="Connettore 1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88AA4" id="Connettore 1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55pt,5.3pt" to="481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" strokeweight=".25pt"/>
            </w:pict>
          </mc:Fallback>
        </mc:AlternateContent>
      </w:r>
    </w:p>
    <w:p w:rsidR="00D917FB" w:rsidRDefault="00D917FB" w:rsidP="00D917FB"/>
    <w:p w:rsidR="001A40E4" w:rsidRDefault="001A40E4"/>
    <w:p w:rsidR="00D917FB" w:rsidRDefault="00D917FB"/>
    <w:p w:rsidR="00D917FB" w:rsidRDefault="00D917FB"/>
    <w:p w:rsidR="00D917FB" w:rsidRDefault="00D917FB"/>
    <w:p w:rsidR="00D917FB" w:rsidRDefault="00D917FB"/>
    <w:tbl>
      <w:tblPr>
        <w:tblW w:w="0" w:type="auto"/>
        <w:tblLook w:val="04A0" w:firstRow="1" w:lastRow="0" w:firstColumn="1" w:lastColumn="0" w:noHBand="0" w:noVBand="1"/>
      </w:tblPr>
      <w:tblGrid>
        <w:gridCol w:w="1283"/>
        <w:gridCol w:w="8355"/>
      </w:tblGrid>
      <w:tr w:rsidR="00D917FB" w:rsidRPr="00392585" w:rsidTr="0017290B">
        <w:tc>
          <w:tcPr>
            <w:tcW w:w="1129" w:type="dxa"/>
            <w:shd w:val="clear" w:color="auto" w:fill="auto"/>
          </w:tcPr>
          <w:p w:rsidR="00D917FB" w:rsidRPr="00C43270" w:rsidRDefault="00D917FB" w:rsidP="0017290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43270">
              <w:rPr>
                <w:rFonts w:ascii="Arial" w:hAnsi="Arial" w:cs="Arial"/>
                <w:b/>
                <w:i/>
                <w:sz w:val="20"/>
                <w:szCs w:val="20"/>
              </w:rPr>
              <w:t>OGGETTO:</w:t>
            </w:r>
          </w:p>
        </w:tc>
        <w:tc>
          <w:tcPr>
            <w:tcW w:w="8499" w:type="dxa"/>
            <w:shd w:val="clear" w:color="auto" w:fill="auto"/>
          </w:tcPr>
          <w:p w:rsidR="00D917FB" w:rsidRPr="00C43270" w:rsidRDefault="00D917FB" w:rsidP="0017290B">
            <w:pPr>
              <w:pStyle w:val="Rientrocorpodeltesto1"/>
              <w:spacing w:after="0"/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ESERCIZIO FINANZIARIO </w:t>
            </w:r>
            <w:r w:rsidR="00812E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2016 -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RENDICONTO DELLA GESTIONE – ART. 226 DEL DECRETO LEGISLATIVO 267/2000</w:t>
            </w:r>
          </w:p>
          <w:p w:rsidR="00D917FB" w:rsidRPr="00C43270" w:rsidRDefault="00D917FB" w:rsidP="001729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7FB" w:rsidRDefault="00D917FB"/>
    <w:p w:rsidR="00D917FB" w:rsidRDefault="00D917FB"/>
    <w:p w:rsidR="00D917FB" w:rsidRDefault="00D917FB"/>
    <w:p w:rsidR="00D917FB" w:rsidRDefault="00D917FB"/>
    <w:p w:rsidR="00D917FB" w:rsidRDefault="00D917FB"/>
    <w:p w:rsidR="00D917FB" w:rsidRPr="00D917FB" w:rsidRDefault="00D917FB" w:rsidP="00D917FB">
      <w:pPr>
        <w:jc w:val="center"/>
        <w:rPr>
          <w:rFonts w:ascii="Arial" w:hAnsi="Arial" w:cs="Arial"/>
        </w:rPr>
      </w:pPr>
      <w:r w:rsidRPr="00D917FB">
        <w:rPr>
          <w:rFonts w:ascii="Arial" w:hAnsi="Arial" w:cs="Arial"/>
        </w:rPr>
        <w:t>IL RESPONSABILE DEI</w:t>
      </w:r>
    </w:p>
    <w:p w:rsidR="00D917FB" w:rsidRPr="00D917FB" w:rsidRDefault="00D917FB" w:rsidP="00D917FB">
      <w:pPr>
        <w:jc w:val="center"/>
        <w:rPr>
          <w:rFonts w:ascii="Arial" w:hAnsi="Arial" w:cs="Arial"/>
        </w:rPr>
      </w:pPr>
      <w:r w:rsidRPr="00D917FB">
        <w:rPr>
          <w:rFonts w:ascii="Arial" w:hAnsi="Arial" w:cs="Arial"/>
        </w:rPr>
        <w:t>SERVIZI FINANZIARI E CONTABILI</w:t>
      </w:r>
    </w:p>
    <w:p w:rsidR="00D917FB" w:rsidRPr="00D917FB" w:rsidRDefault="00D917FB" w:rsidP="00D917FB">
      <w:pPr>
        <w:jc w:val="center"/>
        <w:rPr>
          <w:rFonts w:ascii="Arial" w:hAnsi="Arial" w:cs="Arial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 w:rsidRPr="00D917FB">
        <w:rPr>
          <w:rFonts w:ascii="Arial" w:hAnsi="Arial" w:cs="Arial"/>
          <w:sz w:val="20"/>
          <w:szCs w:val="20"/>
        </w:rPr>
        <w:tab/>
        <w:t xml:space="preserve">Visti i dati contabili relativi all’esercizio finanziario </w:t>
      </w:r>
      <w:r w:rsidR="00812EAC">
        <w:rPr>
          <w:rFonts w:ascii="Arial" w:hAnsi="Arial" w:cs="Arial"/>
          <w:sz w:val="20"/>
          <w:szCs w:val="20"/>
        </w:rPr>
        <w:t>2016;</w:t>
      </w: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 w:rsidRPr="00D917FB">
        <w:rPr>
          <w:rFonts w:ascii="Arial" w:hAnsi="Arial" w:cs="Arial"/>
          <w:sz w:val="20"/>
          <w:szCs w:val="20"/>
        </w:rPr>
        <w:tab/>
        <w:t>Visto il conto del Tesoriere Banca Cassa di Risparmio di Savigliano S.p.A. relativo all’anno 201</w:t>
      </w:r>
      <w:r w:rsidR="00812EAC">
        <w:rPr>
          <w:rFonts w:ascii="Arial" w:hAnsi="Arial" w:cs="Arial"/>
          <w:sz w:val="20"/>
          <w:szCs w:val="20"/>
        </w:rPr>
        <w:t>6</w:t>
      </w:r>
      <w:r w:rsidRPr="00D917FB">
        <w:rPr>
          <w:rFonts w:ascii="Arial" w:hAnsi="Arial" w:cs="Arial"/>
          <w:sz w:val="20"/>
          <w:szCs w:val="20"/>
        </w:rPr>
        <w:t>;</w:t>
      </w: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 w:rsidRPr="00D917FB">
        <w:rPr>
          <w:rFonts w:ascii="Arial" w:hAnsi="Arial" w:cs="Arial"/>
          <w:sz w:val="20"/>
          <w:szCs w:val="20"/>
        </w:rPr>
        <w:tab/>
        <w:t>Considerato che in relazione al disposto di cui all’art. 226 del Decreto Legislativo 267/2000 si è proceduto alla verifica della concordanza tra il conto del Tesoriere e le scritture contabili dell’ente alla data del 31 dicembre;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center"/>
        <w:rPr>
          <w:rFonts w:ascii="Arial" w:hAnsi="Arial" w:cs="Arial"/>
        </w:rPr>
      </w:pPr>
      <w:r w:rsidRPr="00D917FB">
        <w:rPr>
          <w:rFonts w:ascii="Arial" w:hAnsi="Arial" w:cs="Arial"/>
        </w:rPr>
        <w:t>D I C H I A R A</w:t>
      </w: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Pr="00D917FB" w:rsidRDefault="00D917FB" w:rsidP="00D917FB">
      <w:pPr>
        <w:jc w:val="center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 w:rsidRPr="00D917FB">
        <w:rPr>
          <w:rFonts w:ascii="Arial" w:hAnsi="Arial" w:cs="Arial"/>
          <w:sz w:val="20"/>
          <w:szCs w:val="20"/>
        </w:rPr>
        <w:t>Che le partite del conto del Tesoriere Banca Cassa di Risparmio di Savigliano S.p.A. concordano con le scritture contabili dell’ente rilevate nel conto del bilancio</w:t>
      </w:r>
      <w:r>
        <w:rPr>
          <w:rFonts w:ascii="Arial" w:hAnsi="Arial" w:cs="Arial"/>
          <w:sz w:val="20"/>
          <w:szCs w:val="20"/>
        </w:rPr>
        <w:t>;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Savigliano, 01.02.201</w:t>
      </w:r>
      <w:r w:rsidR="00812EAC">
        <w:rPr>
          <w:rFonts w:ascii="Arial" w:hAnsi="Arial" w:cs="Arial"/>
          <w:sz w:val="20"/>
          <w:szCs w:val="20"/>
        </w:rPr>
        <w:t>7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IL FUNZIONARIO SERVIZI</w:t>
      </w:r>
    </w:p>
    <w:p w:rsid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FINANZIARI E CONTABILI</w:t>
      </w:r>
    </w:p>
    <w:p w:rsidR="00D917FB" w:rsidRPr="00D917FB" w:rsidRDefault="00D917FB" w:rsidP="00D917F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 w:rsidR="00812EAC">
        <w:rPr>
          <w:rFonts w:ascii="Arial" w:hAnsi="Arial" w:cs="Arial"/>
          <w:sz w:val="20"/>
          <w:szCs w:val="20"/>
        </w:rPr>
        <w:t xml:space="preserve">F.to </w:t>
      </w:r>
      <w:r>
        <w:rPr>
          <w:rFonts w:ascii="Arial" w:hAnsi="Arial" w:cs="Arial"/>
          <w:sz w:val="20"/>
          <w:szCs w:val="20"/>
        </w:rPr>
        <w:t>Steffenino Anne Gabriele</w:t>
      </w:r>
    </w:p>
    <w:sectPr w:rsidR="00D917FB" w:rsidRPr="00D917FB" w:rsidSect="002624D8"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7FB"/>
    <w:rsid w:val="001A40E4"/>
    <w:rsid w:val="002624D8"/>
    <w:rsid w:val="004D0FC6"/>
    <w:rsid w:val="00812EAC"/>
    <w:rsid w:val="00D917FB"/>
    <w:rsid w:val="00E9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579C1-A81E-47EB-B3C4-14E3AA29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917FB"/>
    <w:pPr>
      <w:ind w:left="0"/>
    </w:pPr>
    <w:rPr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624D8"/>
    <w:pPr>
      <w:keepNext/>
      <w:spacing w:before="100" w:beforeAutospacing="1" w:after="100" w:afterAutospacing="1"/>
      <w:ind w:left="567"/>
      <w:outlineLvl w:val="0"/>
    </w:pPr>
    <w:rPr>
      <w:i/>
      <w:iCs/>
      <w:color w:val="1F497D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624D8"/>
    <w:pPr>
      <w:keepNext/>
      <w:keepLines/>
      <w:spacing w:before="40"/>
      <w:ind w:left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624D8"/>
    <w:pPr>
      <w:keepNext/>
      <w:keepLines/>
      <w:spacing w:before="40"/>
      <w:ind w:left="567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624D8"/>
    <w:rPr>
      <w:i/>
      <w:iCs/>
      <w:color w:val="1F497D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624D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24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2624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entrocorpodeltesto1">
    <w:name w:val="Rientro corpo del testo1"/>
    <w:basedOn w:val="Normale"/>
    <w:rsid w:val="00D917FB"/>
    <w:pPr>
      <w:spacing w:after="600"/>
      <w:ind w:left="1418" w:hanging="141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Savigliano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Steffenino</dc:creator>
  <cp:keywords/>
  <dc:description/>
  <cp:lastModifiedBy>Anne Steffenino</cp:lastModifiedBy>
  <cp:revision>2</cp:revision>
  <dcterms:created xsi:type="dcterms:W3CDTF">2017-04-12T17:39:00Z</dcterms:created>
  <dcterms:modified xsi:type="dcterms:W3CDTF">2017-04-12T17:39:00Z</dcterms:modified>
</cp:coreProperties>
</file>